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75B5" w:rsidRPr="002075B5" w:rsidRDefault="002075B5" w:rsidP="002075B5">
      <w:pPr>
        <w:tabs>
          <w:tab w:val="left" w:pos="1701"/>
          <w:tab w:val="right" w:pos="9639"/>
        </w:tabs>
        <w:overflowPunct w:val="0"/>
        <w:autoSpaceDE w:val="0"/>
        <w:autoSpaceDN w:val="0"/>
        <w:adjustRightInd w:val="0"/>
        <w:spacing w:after="0" w:line="240" w:lineRule="auto"/>
        <w:jc w:val="both"/>
        <w:textAlignment w:val="baseline"/>
        <w:rPr>
          <w:rFonts w:ascii="Arial" w:hAnsi="Arial" w:cs="Arial"/>
          <w:b/>
          <w:color w:val="000000"/>
          <w:kern w:val="2"/>
          <w:sz w:val="24"/>
          <w:szCs w:val="20"/>
          <w:lang w:val="en-US" w:eastAsia="zh-CN"/>
        </w:rPr>
      </w:pPr>
      <w:r w:rsidRPr="002075B5">
        <w:rPr>
          <w:rFonts w:ascii="Arial" w:hAnsi="Arial" w:cs="Arial"/>
          <w:b/>
          <w:noProof/>
          <w:sz w:val="24"/>
          <w:szCs w:val="20"/>
          <w:lang w:val="en-US" w:eastAsia="zh-CN"/>
        </w:rPr>
        <w:t>3GPP TSG-RAN WG2 Meeting #12</w:t>
      </w:r>
      <w:r>
        <w:rPr>
          <w:rFonts w:ascii="Arial" w:hAnsi="Arial" w:cs="Arial"/>
          <w:b/>
          <w:noProof/>
          <w:sz w:val="24"/>
          <w:szCs w:val="20"/>
          <w:lang w:val="en-US" w:eastAsia="zh-CN"/>
        </w:rPr>
        <w:t>1</w:t>
      </w:r>
      <w:r w:rsidRPr="002075B5">
        <w:rPr>
          <w:rFonts w:ascii="Arial" w:hAnsi="Arial" w:cs="Arial"/>
          <w:b/>
          <w:color w:val="000000"/>
          <w:kern w:val="2"/>
          <w:sz w:val="24"/>
          <w:szCs w:val="20"/>
          <w:lang w:val="en-US" w:eastAsia="zh-CN"/>
        </w:rPr>
        <w:tab/>
        <w:t xml:space="preserve"> </w:t>
      </w:r>
      <w:r w:rsidR="00C63D8B" w:rsidRPr="00C63D8B">
        <w:rPr>
          <w:rFonts w:ascii="Arial" w:hAnsi="Arial" w:cs="Arial"/>
          <w:b/>
          <w:bCs/>
          <w:sz w:val="26"/>
          <w:szCs w:val="26"/>
        </w:rPr>
        <w:t>R2-2301419</w:t>
      </w:r>
    </w:p>
    <w:p w:rsidR="002075B5" w:rsidRPr="002075B5" w:rsidRDefault="002075B5" w:rsidP="002075B5">
      <w:pPr>
        <w:widowControl w:val="0"/>
        <w:tabs>
          <w:tab w:val="left" w:pos="1701"/>
          <w:tab w:val="right" w:pos="9923"/>
        </w:tabs>
        <w:spacing w:before="120" w:after="0" w:line="240" w:lineRule="auto"/>
        <w:rPr>
          <w:rFonts w:ascii="Arial" w:eastAsia="MS Mincho" w:hAnsi="Arial" w:cs="Times New Roman"/>
          <w:b/>
          <w:sz w:val="24"/>
          <w:szCs w:val="24"/>
          <w:lang w:val="de-DE" w:eastAsia="x-none"/>
        </w:rPr>
      </w:pPr>
      <w:r>
        <w:rPr>
          <w:rFonts w:ascii="Arial" w:eastAsia="MS Mincho" w:hAnsi="Arial" w:cs="Times New Roman"/>
          <w:b/>
          <w:sz w:val="24"/>
          <w:szCs w:val="24"/>
          <w:lang w:val="de-DE" w:eastAsia="x-none"/>
        </w:rPr>
        <w:t>Athens, GREECE</w:t>
      </w:r>
      <w:r w:rsidRPr="002075B5">
        <w:rPr>
          <w:rFonts w:ascii="Arial" w:eastAsia="MS Mincho" w:hAnsi="Arial" w:cs="Times New Roman"/>
          <w:b/>
          <w:sz w:val="24"/>
          <w:szCs w:val="24"/>
          <w:lang w:val="de-DE" w:eastAsia="x-none"/>
        </w:rPr>
        <w:t xml:space="preserve">, </w:t>
      </w:r>
      <w:r>
        <w:rPr>
          <w:rFonts w:ascii="Arial" w:eastAsia="MS Mincho" w:hAnsi="Arial" w:cs="Times New Roman"/>
          <w:b/>
          <w:sz w:val="24"/>
          <w:szCs w:val="24"/>
          <w:lang w:val="de-DE" w:eastAsia="x-none"/>
        </w:rPr>
        <w:t>27th Feb – 3rd Mar 2023</w:t>
      </w:r>
    </w:p>
    <w:p w:rsidR="002075B5" w:rsidRPr="002075B5" w:rsidRDefault="002075B5" w:rsidP="002075B5">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p>
    <w:p w:rsidR="002075B5" w:rsidRPr="002075B5" w:rsidRDefault="002075B5" w:rsidP="002075B5">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2075B5">
        <w:rPr>
          <w:rFonts w:ascii="Arial" w:hAnsi="Arial" w:cs="Arial"/>
          <w:b/>
          <w:lang w:eastAsia="zh-CN"/>
        </w:rPr>
        <w:t>Agenda Item:</w:t>
      </w:r>
      <w:r w:rsidRPr="002075B5">
        <w:rPr>
          <w:rFonts w:ascii="Arial" w:hAnsi="Arial" w:cs="Arial"/>
          <w:b/>
          <w:lang w:eastAsia="zh-CN"/>
        </w:rPr>
        <w:tab/>
        <w:t>8.12.2</w:t>
      </w:r>
    </w:p>
    <w:p w:rsidR="002075B5" w:rsidRPr="002075B5" w:rsidRDefault="002075B5" w:rsidP="002075B5">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2075B5">
        <w:rPr>
          <w:rFonts w:ascii="Arial" w:hAnsi="Arial" w:cs="Arial"/>
          <w:b/>
          <w:lang w:eastAsia="zh-CN"/>
        </w:rPr>
        <w:t>Source:</w:t>
      </w:r>
      <w:r w:rsidRPr="002075B5">
        <w:rPr>
          <w:rFonts w:ascii="Arial" w:hAnsi="Arial" w:cs="Arial"/>
          <w:b/>
          <w:lang w:eastAsia="zh-CN"/>
        </w:rPr>
        <w:tab/>
        <w:t xml:space="preserve">Xiaomi </w:t>
      </w:r>
    </w:p>
    <w:p w:rsidR="002075B5" w:rsidRPr="002075B5" w:rsidRDefault="002075B5" w:rsidP="002075B5">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2075B5">
        <w:rPr>
          <w:rFonts w:ascii="Arial" w:hAnsi="Arial" w:cs="Arial"/>
          <w:b/>
          <w:lang w:eastAsia="zh-CN"/>
        </w:rPr>
        <w:t>Title:</w:t>
      </w:r>
      <w:r w:rsidRPr="002075B5">
        <w:rPr>
          <w:rFonts w:ascii="Arial" w:hAnsi="Arial" w:cs="Arial"/>
          <w:b/>
          <w:lang w:eastAsia="zh-CN"/>
        </w:rPr>
        <w:tab/>
      </w:r>
      <w:r w:rsidR="00110C1F">
        <w:rPr>
          <w:rFonts w:ascii="Arial" w:hAnsi="Arial" w:cs="Arial"/>
          <w:b/>
          <w:lang w:eastAsia="zh-CN"/>
        </w:rPr>
        <w:t>M</w:t>
      </w:r>
      <w:r w:rsidRPr="002075B5">
        <w:rPr>
          <w:rFonts w:ascii="Arial" w:hAnsi="Arial" w:cs="Arial"/>
          <w:b/>
          <w:lang w:eastAsia="zh-CN"/>
        </w:rPr>
        <w:t xml:space="preserve">obile IAB </w:t>
      </w:r>
      <w:r w:rsidR="00B4334B">
        <w:rPr>
          <w:rFonts w:ascii="Arial" w:hAnsi="Arial" w:cs="Arial"/>
          <w:b/>
          <w:lang w:eastAsia="zh-CN"/>
        </w:rPr>
        <w:t xml:space="preserve">cell type </w:t>
      </w:r>
      <w:r w:rsidRPr="002075B5">
        <w:rPr>
          <w:rFonts w:ascii="Arial" w:hAnsi="Arial" w:cs="Arial"/>
          <w:b/>
          <w:lang w:eastAsia="zh-CN"/>
        </w:rPr>
        <w:t>for UE cell s</w:t>
      </w:r>
      <w:bookmarkStart w:id="0" w:name="_GoBack"/>
      <w:bookmarkEnd w:id="0"/>
      <w:r w:rsidRPr="002075B5">
        <w:rPr>
          <w:rFonts w:ascii="Arial" w:hAnsi="Arial" w:cs="Arial"/>
          <w:b/>
          <w:lang w:eastAsia="zh-CN"/>
        </w:rPr>
        <w:t>election and reselection</w:t>
      </w:r>
    </w:p>
    <w:p w:rsidR="002075B5" w:rsidRPr="002075B5" w:rsidRDefault="002075B5" w:rsidP="002075B5">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2075B5">
        <w:rPr>
          <w:rFonts w:ascii="Arial" w:hAnsi="Arial" w:cs="Arial"/>
          <w:b/>
          <w:lang w:eastAsia="zh-CN"/>
        </w:rPr>
        <w:t>Document for:</w:t>
      </w:r>
      <w:r w:rsidRPr="002075B5">
        <w:rPr>
          <w:rFonts w:ascii="Arial" w:hAnsi="Arial" w:cs="Arial"/>
          <w:b/>
          <w:lang w:eastAsia="zh-CN"/>
        </w:rPr>
        <w:tab/>
        <w:t>Discussion &amp; Decision</w:t>
      </w:r>
    </w:p>
    <w:p w:rsidR="002075B5" w:rsidRPr="002075B5" w:rsidRDefault="002075B5" w:rsidP="002075B5">
      <w:pPr>
        <w:pStyle w:val="ListParagraph"/>
        <w:keepNext/>
        <w:numPr>
          <w:ilvl w:val="0"/>
          <w:numId w:val="8"/>
        </w:numPr>
        <w:pBdr>
          <w:top w:val="single" w:sz="12" w:space="3" w:color="auto"/>
        </w:pBdr>
        <w:tabs>
          <w:tab w:val="left" w:pos="522"/>
        </w:tabs>
        <w:spacing w:before="360"/>
        <w:ind w:firstLineChars="0"/>
        <w:outlineLvl w:val="0"/>
        <w:rPr>
          <w:rFonts w:ascii="Arial" w:eastAsia="Malgun Gothic" w:hAnsi="Arial" w:cs="Arial"/>
          <w:bCs/>
          <w:sz w:val="36"/>
          <w:szCs w:val="32"/>
          <w:lang w:eastAsia="ja-JP"/>
        </w:rPr>
      </w:pPr>
      <w:r w:rsidRPr="002075B5">
        <w:rPr>
          <w:rFonts w:ascii="Arial" w:eastAsia="Malgun Gothic" w:hAnsi="Arial" w:cs="Arial"/>
          <w:bCs/>
          <w:sz w:val="36"/>
          <w:szCs w:val="32"/>
          <w:lang w:eastAsia="ja-JP"/>
        </w:rPr>
        <w:t>Introduction</w:t>
      </w:r>
    </w:p>
    <w:p w:rsidR="002E05AA" w:rsidRDefault="00ED5998" w:rsidP="002E05AA">
      <w:r w:rsidRPr="00ED5998">
        <w:t>In this contribution we revisit our previous submitted scenarios [3] with a view to demonstrate why for this release it is sufficient to rely on th</w:t>
      </w:r>
      <w:r w:rsidR="00120627">
        <w:t>e</w:t>
      </w:r>
      <w:r w:rsidRPr="00ED5998">
        <w:t xml:space="preserve"> single bit cell-type indication along with enhanced UE implementation to manage the REL18 UE on-board behaviour.</w:t>
      </w:r>
    </w:p>
    <w:p w:rsidR="00120627" w:rsidRDefault="00120627" w:rsidP="002E05AA">
      <w:r>
        <w:t>Previous agreements.</w:t>
      </w:r>
    </w:p>
    <w:p w:rsidR="002E05AA" w:rsidRPr="002E05AA" w:rsidRDefault="002E05AA" w:rsidP="002E05AA">
      <w:pPr>
        <w:pBdr>
          <w:top w:val="single" w:sz="4" w:space="1" w:color="auto"/>
          <w:left w:val="single" w:sz="4" w:space="4" w:color="auto"/>
          <w:bottom w:val="single" w:sz="4" w:space="1" w:color="auto"/>
          <w:right w:val="single" w:sz="4" w:space="4" w:color="auto"/>
        </w:pBdr>
        <w:rPr>
          <w:rFonts w:cstheme="minorHAnsi"/>
        </w:rPr>
      </w:pPr>
      <w:r w:rsidRPr="002E05AA">
        <w:rPr>
          <w:rFonts w:cstheme="minorHAnsi"/>
        </w:rPr>
        <w:t>RAN2#119bis</w:t>
      </w:r>
    </w:p>
    <w:p w:rsidR="002E05AA" w:rsidRPr="002E05AA" w:rsidRDefault="002E05AA" w:rsidP="002E05AA">
      <w:pPr>
        <w:pStyle w:val="ListParagraph"/>
        <w:numPr>
          <w:ilvl w:val="0"/>
          <w:numId w:val="6"/>
        </w:numPr>
        <w:pBdr>
          <w:top w:val="single" w:sz="4" w:space="1" w:color="auto"/>
          <w:left w:val="single" w:sz="4" w:space="4" w:color="auto"/>
          <w:bottom w:val="single" w:sz="4" w:space="1" w:color="auto"/>
          <w:right w:val="single" w:sz="4" w:space="4" w:color="auto"/>
        </w:pBdr>
        <w:ind w:firstLineChars="0"/>
        <w:rPr>
          <w:rFonts w:asciiTheme="minorHAnsi" w:hAnsiTheme="minorHAnsi" w:cstheme="minorHAnsi"/>
        </w:rPr>
      </w:pPr>
      <w:r w:rsidRPr="002E05AA">
        <w:rPr>
          <w:rFonts w:asciiTheme="minorHAnsi" w:hAnsiTheme="minorHAnsi" w:cstheme="minorHAnsi"/>
        </w:rPr>
        <w:t xml:space="preserve">RAN2 confirms that Mobile IAB need to work with legacy UEs. </w:t>
      </w:r>
    </w:p>
    <w:p w:rsidR="002E05AA" w:rsidRPr="002E05AA" w:rsidRDefault="002E05AA" w:rsidP="002E05AA">
      <w:pPr>
        <w:pStyle w:val="ListParagraph"/>
        <w:numPr>
          <w:ilvl w:val="0"/>
          <w:numId w:val="6"/>
        </w:numPr>
        <w:pBdr>
          <w:top w:val="single" w:sz="4" w:space="1" w:color="auto"/>
          <w:left w:val="single" w:sz="4" w:space="4" w:color="auto"/>
          <w:bottom w:val="single" w:sz="4" w:space="1" w:color="auto"/>
          <w:right w:val="single" w:sz="4" w:space="4" w:color="auto"/>
        </w:pBdr>
        <w:ind w:firstLineChars="0"/>
        <w:rPr>
          <w:rFonts w:asciiTheme="minorHAnsi" w:hAnsiTheme="minorHAnsi" w:cstheme="minorHAnsi"/>
        </w:rPr>
      </w:pPr>
      <w:r w:rsidRPr="002E05AA">
        <w:rPr>
          <w:rFonts w:asciiTheme="minorHAnsi" w:hAnsiTheme="minorHAnsi" w:cstheme="minorHAnsi"/>
        </w:rPr>
        <w:t xml:space="preserve">RAN2 observes that a UE could potentially consider itself on-board of a mobile-IAB cell, if the UE camps on/connects to a mobile IAB cell during a long period (i.e. the UE then need to know that this is such a cell). FFS the time. FFS if this is needed. </w:t>
      </w:r>
    </w:p>
    <w:p w:rsidR="002E05AA" w:rsidRPr="002E05AA" w:rsidRDefault="002E05AA" w:rsidP="002E05AA">
      <w:pPr>
        <w:pStyle w:val="ListParagraph"/>
        <w:numPr>
          <w:ilvl w:val="0"/>
          <w:numId w:val="6"/>
        </w:numPr>
        <w:pBdr>
          <w:top w:val="single" w:sz="4" w:space="1" w:color="auto"/>
          <w:left w:val="single" w:sz="4" w:space="4" w:color="auto"/>
          <w:bottom w:val="single" w:sz="4" w:space="1" w:color="auto"/>
          <w:right w:val="single" w:sz="4" w:space="4" w:color="auto"/>
        </w:pBdr>
        <w:ind w:firstLineChars="0"/>
        <w:rPr>
          <w:rFonts w:asciiTheme="minorHAnsi" w:hAnsiTheme="minorHAnsi" w:cstheme="minorHAnsi"/>
        </w:rPr>
      </w:pPr>
      <w:r w:rsidRPr="002E05AA">
        <w:rPr>
          <w:rFonts w:asciiTheme="minorHAnsi" w:hAnsiTheme="minorHAnsi" w:cstheme="minorHAnsi"/>
        </w:rPr>
        <w:t>RAN2 assumption: For the mobile IAB cell broadcasting info: 1 bit mobile-IAB cell type indication is introduced, to assist mobility in Idle/Inactive mode for Rel-18 UEs (FFS if to assist UE to know it is onboard, if this need to be known). FFS how this is used (might be implementation specific).</w:t>
      </w:r>
    </w:p>
    <w:p w:rsidR="002E05AA" w:rsidRPr="002E05AA" w:rsidRDefault="002E05AA" w:rsidP="002E05AA">
      <w:pPr>
        <w:pBdr>
          <w:top w:val="single" w:sz="4" w:space="1" w:color="auto"/>
          <w:left w:val="single" w:sz="4" w:space="4" w:color="auto"/>
          <w:bottom w:val="single" w:sz="4" w:space="1" w:color="auto"/>
          <w:right w:val="single" w:sz="4" w:space="4" w:color="auto"/>
        </w:pBdr>
        <w:rPr>
          <w:rFonts w:cstheme="minorHAnsi"/>
        </w:rPr>
      </w:pPr>
      <w:r w:rsidRPr="002E05AA">
        <w:rPr>
          <w:rFonts w:cstheme="minorHAnsi"/>
        </w:rPr>
        <w:t>RAN2#120</w:t>
      </w:r>
    </w:p>
    <w:p w:rsidR="002E05AA" w:rsidRPr="002E05AA" w:rsidRDefault="002E05AA" w:rsidP="002E05AA">
      <w:pPr>
        <w:pStyle w:val="ListParagraph"/>
        <w:numPr>
          <w:ilvl w:val="0"/>
          <w:numId w:val="5"/>
        </w:numPr>
        <w:pBdr>
          <w:top w:val="single" w:sz="4" w:space="1" w:color="auto"/>
          <w:left w:val="single" w:sz="4" w:space="4" w:color="auto"/>
          <w:bottom w:val="single" w:sz="4" w:space="1" w:color="auto"/>
          <w:right w:val="single" w:sz="4" w:space="4" w:color="auto"/>
        </w:pBdr>
        <w:ind w:firstLineChars="0"/>
        <w:rPr>
          <w:rFonts w:asciiTheme="minorHAnsi" w:hAnsiTheme="minorHAnsi" w:cstheme="minorHAnsi"/>
        </w:rPr>
      </w:pPr>
      <w:r w:rsidRPr="002E05AA">
        <w:rPr>
          <w:rFonts w:asciiTheme="minorHAnsi" w:hAnsiTheme="minorHAnsi" w:cstheme="minorHAnsi"/>
        </w:rPr>
        <w:t>Regarding the assumed mobile-IAB cell type indication, RAN2 assumes is may be specified if some related UE behaviour is specified.</w:t>
      </w:r>
    </w:p>
    <w:p w:rsidR="002075B5" w:rsidRPr="002075B5" w:rsidRDefault="002075B5" w:rsidP="002075B5">
      <w:pPr>
        <w:pStyle w:val="ListParagraph"/>
        <w:keepNext/>
        <w:numPr>
          <w:ilvl w:val="0"/>
          <w:numId w:val="8"/>
        </w:numPr>
        <w:pBdr>
          <w:top w:val="single" w:sz="12" w:space="3" w:color="auto"/>
        </w:pBdr>
        <w:tabs>
          <w:tab w:val="left" w:pos="522"/>
        </w:tabs>
        <w:spacing w:before="360"/>
        <w:ind w:firstLineChars="0"/>
        <w:outlineLvl w:val="0"/>
        <w:rPr>
          <w:rFonts w:ascii="Arial" w:eastAsia="Malgun Gothic" w:hAnsi="Arial" w:cs="Arial"/>
          <w:bCs/>
          <w:sz w:val="36"/>
          <w:szCs w:val="32"/>
          <w:lang w:eastAsia="ja-JP"/>
        </w:rPr>
      </w:pPr>
      <w:r w:rsidRPr="002075B5">
        <w:rPr>
          <w:rFonts w:ascii="Arial" w:eastAsia="Malgun Gothic" w:hAnsi="Arial" w:cs="Arial"/>
          <w:bCs/>
          <w:sz w:val="36"/>
          <w:szCs w:val="32"/>
          <w:lang w:eastAsia="ja-JP"/>
        </w:rPr>
        <w:t>Discussion</w:t>
      </w:r>
    </w:p>
    <w:p w:rsidR="00777EFF" w:rsidRPr="00777EFF" w:rsidRDefault="00777EFF" w:rsidP="002075B5">
      <w:pPr>
        <w:pStyle w:val="Doc-text2"/>
        <w:ind w:left="0" w:firstLine="0"/>
      </w:pPr>
    </w:p>
    <w:p w:rsidR="00777EFF" w:rsidRDefault="00550A5F">
      <w:r>
        <w:t xml:space="preserve">Regarding the agreement from </w:t>
      </w:r>
      <w:r w:rsidR="00777EFF">
        <w:t xml:space="preserve">RAN2#120 </w:t>
      </w:r>
      <w:r>
        <w:t xml:space="preserve">it may appear that RAN2 has </w:t>
      </w:r>
      <w:r w:rsidR="00777EFF">
        <w:t xml:space="preserve">stepped back from the RAN2#119bis agreement regarding the introduction of a bit to indicate mobile-IAB cell type. </w:t>
      </w:r>
    </w:p>
    <w:p w:rsidR="00550A5F" w:rsidRDefault="00550A5F">
      <w:r>
        <w:t xml:space="preserve">Alternatively it could be viewed that this simply </w:t>
      </w:r>
      <w:r w:rsidR="00120627">
        <w:t>adds focus when</w:t>
      </w:r>
      <w:r>
        <w:t xml:space="preserve"> we introduce a bit that is useful and can enable REL18 UEs supporting this feature to perform in an enhanced way. But whether it is possible to specify UE behaviour could be considered a factor on its usefulness</w:t>
      </w:r>
      <w:r w:rsidR="002E05AA">
        <w:t xml:space="preserve">, which in itself may not be completely </w:t>
      </w:r>
      <w:r w:rsidR="00120627">
        <w:t>deterministic</w:t>
      </w:r>
      <w:r>
        <w:t>.</w:t>
      </w:r>
    </w:p>
    <w:p w:rsidR="00550A5F" w:rsidRPr="002E05AA" w:rsidRDefault="002E05AA">
      <w:pPr>
        <w:rPr>
          <w:b/>
        </w:rPr>
      </w:pPr>
      <w:r w:rsidRPr="002E05AA">
        <w:rPr>
          <w:b/>
        </w:rPr>
        <w:t>Observation: ability to specify specific UE behaviour may not be truly indicative of usefulness of associated network signalling.</w:t>
      </w:r>
    </w:p>
    <w:p w:rsidR="00905D32" w:rsidRDefault="00905D32" w:rsidP="00905D32">
      <w:pPr>
        <w:rPr>
          <w:sz w:val="24"/>
        </w:rPr>
      </w:pPr>
    </w:p>
    <w:p w:rsidR="00905D32" w:rsidRPr="00905D32" w:rsidRDefault="00905D32" w:rsidP="00905D32">
      <w:pPr>
        <w:rPr>
          <w:sz w:val="24"/>
        </w:rPr>
      </w:pPr>
      <w:r w:rsidRPr="00905D32">
        <w:rPr>
          <w:sz w:val="24"/>
        </w:rPr>
        <w:t>2.1</w:t>
      </w:r>
      <w:r w:rsidRPr="00905D32">
        <w:rPr>
          <w:sz w:val="24"/>
        </w:rPr>
        <w:tab/>
        <w:t>Use of a broadcast mobile-IAB cell type indication</w:t>
      </w:r>
    </w:p>
    <w:p w:rsidR="002075B5" w:rsidRDefault="002075B5" w:rsidP="002075B5">
      <w:r>
        <w:lastRenderedPageBreak/>
        <w:t xml:space="preserve">Specifically </w:t>
      </w:r>
      <w:r w:rsidR="00ED5998">
        <w:t xml:space="preserve">here we </w:t>
      </w:r>
      <w:r>
        <w:t xml:space="preserve">consider the benefits </w:t>
      </w:r>
      <w:r w:rsidR="00ED5998">
        <w:t>for</w:t>
      </w:r>
      <w:r>
        <w:t xml:space="preserve"> REL18 UEs supporting this </w:t>
      </w:r>
      <w:r w:rsidR="00120627">
        <w:t xml:space="preserve">mobile IAB </w:t>
      </w:r>
      <w:r>
        <w:t>feature, gained through use of enhancements to assist</w:t>
      </w:r>
      <w:r w:rsidR="00120627">
        <w:t xml:space="preserve"> these UEs</w:t>
      </w:r>
      <w:r>
        <w:t xml:space="preserve"> in determination of on-board (and similarly leave) the m</w:t>
      </w:r>
      <w:r w:rsidR="00ED5998">
        <w:t xml:space="preserve">obile </w:t>
      </w:r>
      <w:r>
        <w:t>IAB</w:t>
      </w:r>
      <w:r w:rsidR="00ED5998">
        <w:t xml:space="preserve"> cell</w:t>
      </w:r>
      <w:r>
        <w:t>, potentially determined through the use of th</w:t>
      </w:r>
      <w:r w:rsidR="00ED5998">
        <w:t>e</w:t>
      </w:r>
      <w:r>
        <w:t xml:space="preserve"> broadcast 1-bit cell-type. </w:t>
      </w:r>
    </w:p>
    <w:p w:rsidR="00571ABB" w:rsidRDefault="00571ABB" w:rsidP="00571ABB">
      <w:r>
        <w:t xml:space="preserve">It is envisaged that </w:t>
      </w:r>
      <w:r w:rsidR="00120627">
        <w:t xml:space="preserve">through </w:t>
      </w:r>
      <w:r>
        <w:t xml:space="preserve">use of legacy RRM offset configurations the mobility of legacy UEs can somewhat be controlled to avoid too frequent mobility away from an intended connection with a mobile IAB node cell, in scenarios when the legacy UE is closely associated with the platform that the mobile-IAB node is located on e.g. a car or bus. </w:t>
      </w:r>
    </w:p>
    <w:p w:rsidR="00AE6CF9" w:rsidRDefault="00571ABB" w:rsidP="00571ABB">
      <w:r>
        <w:t xml:space="preserve">However </w:t>
      </w:r>
      <w:r w:rsidRPr="00571ABB">
        <w:t xml:space="preserve">this RRM control </w:t>
      </w:r>
      <w:r>
        <w:t xml:space="preserve">may be too </w:t>
      </w:r>
      <w:r w:rsidRPr="00571ABB">
        <w:t>aggre</w:t>
      </w:r>
      <w:r>
        <w:t>s</w:t>
      </w:r>
      <w:r w:rsidRPr="00571ABB">
        <w:t xml:space="preserve">sive and may </w:t>
      </w:r>
      <w:r>
        <w:t>unintentionally cause excessive delay in allowing the legacy UE selecting away from the mobile IAB node when it needs to</w:t>
      </w:r>
      <w:r w:rsidR="00120627">
        <w:t xml:space="preserve"> or if it has made an incorrect cell association/connection (through the cell being mobile)</w:t>
      </w:r>
      <w:r>
        <w:t xml:space="preserve">, in order to preserve its ongoing service. In short relying on legacy RRM configurations may be sub-optimal in terms of ensuring UE connectivity in and around mobile IAB node cell selection. A compromise setting of RRM parameters may mean that legacy devices may unintentionally leave the connectivity of the mobile IAB cell and need to reacquire connectivity in a short time after leaving. These types of scenarios may be </w:t>
      </w:r>
      <w:r w:rsidR="00120627">
        <w:t xml:space="preserve">exacerbated </w:t>
      </w:r>
      <w:r>
        <w:t xml:space="preserve">through the mobility of the mobile-IAB cell as it traverses an urban network e.g. made up of small cells with coverage blind spots. </w:t>
      </w:r>
    </w:p>
    <w:p w:rsidR="002D020F" w:rsidRDefault="00571ABB" w:rsidP="00571ABB">
      <w:r>
        <w:t xml:space="preserve">Whilst this </w:t>
      </w:r>
      <w:r w:rsidR="00AE6CF9">
        <w:t xml:space="preserve">compromise approach </w:t>
      </w:r>
      <w:r w:rsidR="002D020F">
        <w:t xml:space="preserve">described for RRM parameter setting </w:t>
      </w:r>
      <w:r>
        <w:t xml:space="preserve">may be </w:t>
      </w:r>
      <w:r w:rsidR="002D020F">
        <w:t xml:space="preserve">as good as it gets </w:t>
      </w:r>
      <w:r w:rsidR="00AE6CF9">
        <w:t>for legacy UEs</w:t>
      </w:r>
      <w:r>
        <w:t xml:space="preserve"> it </w:t>
      </w:r>
      <w:r w:rsidR="00120627">
        <w:t>has been</w:t>
      </w:r>
      <w:r>
        <w:t xml:space="preserve"> proposed that through use of the 1-bit cell type indicator broadcast by the mobile-IAB cell</w:t>
      </w:r>
      <w:r w:rsidR="00AE6CF9">
        <w:t>,</w:t>
      </w:r>
      <w:r>
        <w:t xml:space="preserve"> </w:t>
      </w:r>
      <w:r w:rsidR="00AE6CF9">
        <w:t xml:space="preserve">UEs supporting this feature in REL18 can benefit from an enhanced connectivity and therefore user experience and service reliability. </w:t>
      </w:r>
    </w:p>
    <w:p w:rsidR="002D020F" w:rsidRDefault="002D020F" w:rsidP="002D020F">
      <w:r>
        <w:t>During deliberations at RAN2#119bis, and based on the various proposals it seems clear that a UE determination of on-board status for the platform shared with the mobile IAB node is a useful enhancement for a UE as it travels across the network and in order to maintain its connection to the mobile IAB cell.</w:t>
      </w:r>
    </w:p>
    <w:p w:rsidR="002D020F" w:rsidRPr="005207BD" w:rsidRDefault="003F06B3" w:rsidP="002D020F">
      <w:pPr>
        <w:rPr>
          <w:b/>
        </w:rPr>
      </w:pPr>
      <w:r>
        <w:rPr>
          <w:b/>
        </w:rPr>
        <w:t>Proposal 1</w:t>
      </w:r>
      <w:r w:rsidR="002D020F" w:rsidRPr="005207BD">
        <w:rPr>
          <w:b/>
        </w:rPr>
        <w:t>: adoption of UE on-board status is useful enhancement for REL18 UEs supporting this</w:t>
      </w:r>
      <w:r w:rsidR="002D020F">
        <w:rPr>
          <w:b/>
        </w:rPr>
        <w:t xml:space="preserve"> mobile-IAB </w:t>
      </w:r>
      <w:r w:rsidR="002D020F" w:rsidRPr="005207BD">
        <w:rPr>
          <w:b/>
        </w:rPr>
        <w:t>feature.</w:t>
      </w:r>
    </w:p>
    <w:p w:rsidR="002D020F" w:rsidRDefault="00120627" w:rsidP="00AE6CF9">
      <w:r>
        <w:t>A</w:t>
      </w:r>
      <w:r w:rsidRPr="00ED5998">
        <w:t xml:space="preserve"> number of related proposals including the 1 bit mobile-IAB cell type</w:t>
      </w:r>
      <w:r>
        <w:t>,</w:t>
      </w:r>
      <w:r w:rsidRPr="00ED5998">
        <w:t xml:space="preserve"> addition of mobility related broadcast information </w:t>
      </w:r>
      <w:r>
        <w:t>and connection for a long period of time were some of the proposed mechanisms to establish on-board status at a UE.</w:t>
      </w:r>
    </w:p>
    <w:p w:rsidR="00ED5998" w:rsidRDefault="00ED5998" w:rsidP="00571ABB"/>
    <w:p w:rsidR="00AE6CF9" w:rsidRPr="00CD23B2" w:rsidRDefault="00AE6CF9" w:rsidP="00AE6CF9">
      <w:pPr>
        <w:rPr>
          <w:sz w:val="24"/>
        </w:rPr>
      </w:pPr>
      <w:r>
        <w:t xml:space="preserve"> </w:t>
      </w:r>
      <w:r>
        <w:rPr>
          <w:sz w:val="24"/>
        </w:rPr>
        <w:t>2.2</w:t>
      </w:r>
      <w:r>
        <w:rPr>
          <w:sz w:val="24"/>
        </w:rPr>
        <w:tab/>
      </w:r>
      <w:r w:rsidRPr="00CD23B2">
        <w:rPr>
          <w:sz w:val="24"/>
        </w:rPr>
        <w:t>Additional A</w:t>
      </w:r>
      <w:r>
        <w:rPr>
          <w:sz w:val="24"/>
        </w:rPr>
        <w:t>S</w:t>
      </w:r>
      <w:r w:rsidRPr="00CD23B2">
        <w:rPr>
          <w:sz w:val="24"/>
        </w:rPr>
        <w:t xml:space="preserve"> considerations to determine On-board status</w:t>
      </w:r>
    </w:p>
    <w:p w:rsidR="003F06B3" w:rsidRDefault="003F06B3" w:rsidP="00AE6CF9">
      <w:r>
        <w:t>A</w:t>
      </w:r>
      <w:r w:rsidRPr="00ED5998">
        <w:t xml:space="preserve"> number of related proposals including the addition of mobility related broadcast information other than the fore mentioned 1 bit mobile-IAB cell type </w:t>
      </w:r>
      <w:r>
        <w:t>has been</w:t>
      </w:r>
      <w:r w:rsidRPr="00ED5998">
        <w:t xml:space="preserve"> discussed</w:t>
      </w:r>
      <w:r>
        <w:t xml:space="preserve"> already.</w:t>
      </w:r>
    </w:p>
    <w:p w:rsidR="00AE6CF9" w:rsidRDefault="005207BD" w:rsidP="00AE6CF9">
      <w:r>
        <w:t xml:space="preserve">In one proposal </w:t>
      </w:r>
      <w:r w:rsidR="00AE6CF9">
        <w:t xml:space="preserve">it was </w:t>
      </w:r>
      <w:r>
        <w:t>suggested that</w:t>
      </w:r>
      <w:r w:rsidR="00AE6CF9">
        <w:t xml:space="preserve"> a </w:t>
      </w:r>
      <w:r w:rsidR="000976CC">
        <w:t>“</w:t>
      </w:r>
      <w:r w:rsidR="00AE6CF9">
        <w:t>long time</w:t>
      </w:r>
      <w:r w:rsidR="000976CC">
        <w:t>”</w:t>
      </w:r>
      <w:r w:rsidR="00AE6CF9">
        <w:t xml:space="preserve"> period could be  applied to the </w:t>
      </w:r>
      <w:r w:rsidR="000976CC">
        <w:t>association/connection</w:t>
      </w:r>
      <w:r w:rsidR="00AE6CF9">
        <w:t xml:space="preserve"> of the UE to the mobile IAB cell, as a mechanism to detect the UE as</w:t>
      </w:r>
      <w:r w:rsidR="000976CC">
        <w:t xml:space="preserve"> having</w:t>
      </w:r>
      <w:r w:rsidR="00AE6CF9">
        <w:t xml:space="preserve"> on-board</w:t>
      </w:r>
      <w:r w:rsidR="000976CC">
        <w:t xml:space="preserve"> status</w:t>
      </w:r>
      <w:r w:rsidR="00AE6CF9">
        <w:t>.</w:t>
      </w:r>
    </w:p>
    <w:p w:rsidR="00AE6CF9" w:rsidRDefault="00AE6CF9" w:rsidP="00AE6CF9">
      <w:r>
        <w:t>A</w:t>
      </w:r>
      <w:r w:rsidR="000976CC">
        <w:t xml:space="preserve">nother approach proposed that </w:t>
      </w:r>
      <w:r>
        <w:t>the mobile IAB cell may transmit a mobility status, similar in format to the legacy UE mobility status, indicating normal, medium and high mobility</w:t>
      </w:r>
      <w:r w:rsidR="000976CC">
        <w:t xml:space="preserve">. A UE in proximity to the indication </w:t>
      </w:r>
      <w:r w:rsidR="000976CC" w:rsidRPr="000976CC">
        <w:rPr>
          <w:b/>
        </w:rPr>
        <w:t>(a new indication)</w:t>
      </w:r>
      <w:r w:rsidR="000976CC">
        <w:t xml:space="preserve"> could potentially </w:t>
      </w:r>
      <w:r>
        <w:t>determin</w:t>
      </w:r>
      <w:r w:rsidR="000976CC">
        <w:t>e an</w:t>
      </w:r>
      <w:r>
        <w:t xml:space="preserve"> on-board</w:t>
      </w:r>
      <w:r w:rsidR="002F18F9">
        <w:t xml:space="preserve"> status</w:t>
      </w:r>
      <w:r w:rsidR="00120627">
        <w:t xml:space="preserve"> through comparison</w:t>
      </w:r>
      <w:r>
        <w:t>.</w:t>
      </w:r>
    </w:p>
    <w:p w:rsidR="000976CC" w:rsidRDefault="000976CC" w:rsidP="000976CC">
      <w:pPr>
        <w:rPr>
          <w:lang w:eastAsia="en-GB"/>
        </w:rPr>
      </w:pPr>
      <w:r>
        <w:rPr>
          <w:lang w:eastAsia="en-GB"/>
        </w:rPr>
        <w:t xml:space="preserve">Generally an on-board UE can be expected to have a relatively unchanged signal strength as measured to the mobile IAB cell, as well as a relatively similar mobility pattern if physically riding </w:t>
      </w:r>
      <w:r>
        <w:rPr>
          <w:lang w:eastAsia="en-GB"/>
        </w:rPr>
        <w:lastRenderedPageBreak/>
        <w:t xml:space="preserve">with the vehicle the mobile IAB is mounted on.  Hence a UE comparison of the UE mobility status with the mobility status of the camped on/selected cell of the mobile IAB-node combined with the relative signal strength of the cell could help determine similar mobility and be an indication of the UE as being on-board the same vehicle. It is noted that such an evaluation would be expected over a reliable period of assessment. </w:t>
      </w:r>
    </w:p>
    <w:p w:rsidR="00AE6CF9" w:rsidRPr="005207BD" w:rsidRDefault="000976CC" w:rsidP="00AE6CF9">
      <w:r w:rsidRPr="005207BD">
        <w:t>Observation: comparison of mobile IAB cell mobility status with the UE mobility status could be combined with a relative signal strength over a configured assessment period in order for a UE to ascertain an on-board status.</w:t>
      </w:r>
      <w:r w:rsidR="003F06B3">
        <w:t xml:space="preserve"> And the period may need to be variable in order to account for the actual and variations in the vehicle and UE speeds.</w:t>
      </w:r>
    </w:p>
    <w:p w:rsidR="00ED5998" w:rsidRDefault="00ED5998" w:rsidP="000976CC">
      <w:pPr>
        <w:rPr>
          <w:lang w:eastAsia="en-GB"/>
        </w:rPr>
      </w:pPr>
    </w:p>
    <w:p w:rsidR="000976CC" w:rsidRDefault="005207BD" w:rsidP="000976CC">
      <w:pPr>
        <w:rPr>
          <w:lang w:eastAsia="en-GB"/>
        </w:rPr>
      </w:pPr>
      <w:r>
        <w:rPr>
          <w:lang w:eastAsia="en-GB"/>
        </w:rPr>
        <w:t>However, it</w:t>
      </w:r>
      <w:r w:rsidR="000976CC">
        <w:rPr>
          <w:lang w:eastAsia="en-GB"/>
        </w:rPr>
        <w:t xml:space="preserve"> is noted that the mobility status indication is a fairly course determination of mobility and in heavy urban traffic for example with multiple mobile IABs in proximity (e.g. see scenario 4 [3]) this status indication may have limited ability to efficiently and reliably support determination of on-board status for the cell of the mobile IAB associated with the vehicle the UE is in. </w:t>
      </w:r>
    </w:p>
    <w:p w:rsidR="000976CC" w:rsidRDefault="000976CC" w:rsidP="000976CC">
      <w:pPr>
        <w:spacing w:before="240"/>
        <w:rPr>
          <w:lang w:eastAsia="en-GB"/>
        </w:rPr>
      </w:pPr>
      <w:r>
        <w:rPr>
          <w:lang w:eastAsia="en-GB"/>
        </w:rPr>
        <w:t>Indeed more accurate positioning or location indication (e.g. through third party apps or standalone GPS or other sensors) used in association with regular signal strength variation to the selected cell may be a more accurate and quicker assessment of the UE/vehicle deviation from the connection to the mobile-IAB cell and hence a better indication that the UE is on-board the intended mobile IAB or not.</w:t>
      </w:r>
    </w:p>
    <w:p w:rsidR="000976CC" w:rsidRDefault="000976CC" w:rsidP="000976CC">
      <w:pPr>
        <w:spacing w:before="240"/>
        <w:rPr>
          <w:lang w:eastAsia="en-GB"/>
        </w:rPr>
      </w:pPr>
      <w:r>
        <w:rPr>
          <w:lang w:eastAsia="en-GB"/>
        </w:rPr>
        <w:t xml:space="preserve">Also we consider that a UE </w:t>
      </w:r>
      <w:r w:rsidR="00905D32">
        <w:rPr>
          <w:lang w:eastAsia="en-GB"/>
        </w:rPr>
        <w:t xml:space="preserve">will </w:t>
      </w:r>
      <w:r>
        <w:rPr>
          <w:lang w:eastAsia="en-GB"/>
        </w:rPr>
        <w:t>on-board</w:t>
      </w:r>
      <w:r w:rsidR="00905D32">
        <w:rPr>
          <w:lang w:eastAsia="en-GB"/>
        </w:rPr>
        <w:t xml:space="preserve"> to</w:t>
      </w:r>
      <w:r>
        <w:rPr>
          <w:lang w:eastAsia="en-GB"/>
        </w:rPr>
        <w:t xml:space="preserve"> a mobile IAB node cell when it is stationary or at least </w:t>
      </w:r>
      <w:r w:rsidR="00905D32">
        <w:rPr>
          <w:lang w:eastAsia="en-GB"/>
        </w:rPr>
        <w:t xml:space="preserve">has </w:t>
      </w:r>
      <w:r>
        <w:rPr>
          <w:lang w:eastAsia="en-GB"/>
        </w:rPr>
        <w:t xml:space="preserve">very low mobility. After this point the UE remains relatively stationary relative to the cell of the mobile IAB node. If it is already determined that the UE is on-board a </w:t>
      </w:r>
      <w:proofErr w:type="spellStart"/>
      <w:r>
        <w:rPr>
          <w:lang w:eastAsia="en-GB"/>
        </w:rPr>
        <w:t>mIAB</w:t>
      </w:r>
      <w:proofErr w:type="spellEnd"/>
      <w:r>
        <w:rPr>
          <w:lang w:eastAsia="en-GB"/>
        </w:rPr>
        <w:t xml:space="preserve"> node then the motivation for another delayed indication </w:t>
      </w:r>
      <w:r w:rsidR="00905D32">
        <w:rPr>
          <w:lang w:eastAsia="en-GB"/>
        </w:rPr>
        <w:t xml:space="preserve">related to an unreliable mobility indication </w:t>
      </w:r>
      <w:r>
        <w:rPr>
          <w:lang w:eastAsia="en-GB"/>
        </w:rPr>
        <w:t>seem</w:t>
      </w:r>
      <w:r w:rsidR="00905D32">
        <w:rPr>
          <w:lang w:eastAsia="en-GB"/>
        </w:rPr>
        <w:t>s</w:t>
      </w:r>
      <w:r>
        <w:rPr>
          <w:lang w:eastAsia="en-GB"/>
        </w:rPr>
        <w:t xml:space="preserve"> unclear.</w:t>
      </w:r>
    </w:p>
    <w:p w:rsidR="000976CC" w:rsidRPr="006A2862" w:rsidRDefault="000976CC" w:rsidP="000976CC">
      <w:pPr>
        <w:rPr>
          <w:b/>
          <w:lang w:eastAsia="en-GB"/>
        </w:rPr>
      </w:pPr>
      <w:r w:rsidRPr="006A2862">
        <w:rPr>
          <w:b/>
          <w:lang w:eastAsia="en-GB"/>
        </w:rPr>
        <w:t xml:space="preserve">Proposal </w:t>
      </w:r>
      <w:r w:rsidR="003F06B3">
        <w:rPr>
          <w:b/>
          <w:lang w:eastAsia="en-GB"/>
        </w:rPr>
        <w:t>2</w:t>
      </w:r>
      <w:r w:rsidRPr="006A2862">
        <w:rPr>
          <w:b/>
          <w:lang w:eastAsia="en-GB"/>
        </w:rPr>
        <w:t xml:space="preserve">: </w:t>
      </w:r>
      <w:r>
        <w:rPr>
          <w:b/>
          <w:lang w:eastAsia="en-GB"/>
        </w:rPr>
        <w:t>RAN2 n</w:t>
      </w:r>
      <w:r w:rsidRPr="006A2862">
        <w:rPr>
          <w:b/>
          <w:lang w:eastAsia="en-GB"/>
        </w:rPr>
        <w:t>ot consider the broadcasting of the mobility status of the mobile IAB cell, as an AS assistance for UE determination of on-board status.</w:t>
      </w:r>
    </w:p>
    <w:p w:rsidR="000976CC" w:rsidRDefault="000976CC" w:rsidP="00AE6CF9"/>
    <w:p w:rsidR="00905D32" w:rsidRDefault="00905D32" w:rsidP="00905D32">
      <w:r>
        <w:t xml:space="preserve">An alternative proposal was to rely for a “long period of time” following the camping or selection of the mobile IAB cell in order to determine on-board status, this creates further uncertainty. Initially as indicated in scenarios 3 &amp; 4 of [3] it is clear that a UE may be connected for a period to a wrong mobile IAB node, which could be for quite some period of time. It is observed that the proposed long period is also ambiguous, indeed may be variable depending on the actual speed of the mobile IAB, as it would rely on ensuring the UE is not aboard a proximally located vehicle. Also it is not clear whether the long time period is configurable or predetermined. So further simulation and specification </w:t>
      </w:r>
      <w:r w:rsidR="003F06B3">
        <w:t xml:space="preserve">of a range of </w:t>
      </w:r>
      <w:r>
        <w:t>parameters are required.</w:t>
      </w:r>
    </w:p>
    <w:p w:rsidR="00905D32" w:rsidRDefault="00905D32" w:rsidP="00905D32">
      <w:r>
        <w:t xml:space="preserve">Considering these ambiguities, we see </w:t>
      </w:r>
      <w:r w:rsidR="003F06B3">
        <w:t>the specification of</w:t>
      </w:r>
      <w:r>
        <w:t xml:space="preserve"> a “long time” period for which a UE would use to determine on-board status </w:t>
      </w:r>
      <w:r w:rsidR="003F06B3">
        <w:t xml:space="preserve">is not straight forward. </w:t>
      </w:r>
    </w:p>
    <w:p w:rsidR="00905D32" w:rsidRPr="006A2862" w:rsidRDefault="00905D32" w:rsidP="00905D32">
      <w:pPr>
        <w:rPr>
          <w:b/>
          <w:lang w:eastAsia="en-GB"/>
        </w:rPr>
      </w:pPr>
      <w:r w:rsidRPr="006A2862">
        <w:rPr>
          <w:b/>
          <w:lang w:eastAsia="en-GB"/>
        </w:rPr>
        <w:t xml:space="preserve">Proposal </w:t>
      </w:r>
      <w:r w:rsidR="003F06B3">
        <w:rPr>
          <w:b/>
          <w:lang w:eastAsia="en-GB"/>
        </w:rPr>
        <w:t>3</w:t>
      </w:r>
      <w:r w:rsidRPr="006A2862">
        <w:rPr>
          <w:b/>
          <w:lang w:eastAsia="en-GB"/>
        </w:rPr>
        <w:t xml:space="preserve">: </w:t>
      </w:r>
      <w:r>
        <w:rPr>
          <w:b/>
          <w:lang w:eastAsia="en-GB"/>
        </w:rPr>
        <w:t>RAN2 n</w:t>
      </w:r>
      <w:r w:rsidRPr="006A2862">
        <w:rPr>
          <w:b/>
          <w:lang w:eastAsia="en-GB"/>
        </w:rPr>
        <w:t xml:space="preserve">ot </w:t>
      </w:r>
      <w:r>
        <w:rPr>
          <w:b/>
          <w:lang w:eastAsia="en-GB"/>
        </w:rPr>
        <w:t>specify a long time period to be used by a UE to measure how long a UE is connected to a cell of a mobile IAB node, in order to establish an on-board status.</w:t>
      </w:r>
    </w:p>
    <w:p w:rsidR="00905D32" w:rsidRDefault="00905D32" w:rsidP="00905D32"/>
    <w:p w:rsidR="003F06B3" w:rsidRPr="003F06B3" w:rsidRDefault="003F06B3" w:rsidP="003F06B3">
      <w:r w:rsidRPr="003F06B3">
        <w:t xml:space="preserve">As such REL18 UE enhanced behaviour can most easily be supported through allowing UE implementation to use a broadcast mobile IAB 1 bit cell type indication to determine on-board status, following which the enhanced behaviours are specified where appropriate. </w:t>
      </w:r>
    </w:p>
    <w:p w:rsidR="003F06B3" w:rsidRPr="003F17C8" w:rsidRDefault="003F06B3" w:rsidP="003F06B3">
      <w:pPr>
        <w:rPr>
          <w:b/>
        </w:rPr>
      </w:pPr>
      <w:r w:rsidRPr="003F06B3">
        <w:rPr>
          <w:b/>
        </w:rPr>
        <w:lastRenderedPageBreak/>
        <w:t xml:space="preserve">Proposal </w:t>
      </w:r>
      <w:r>
        <w:rPr>
          <w:b/>
        </w:rPr>
        <w:t>4</w:t>
      </w:r>
      <w:r w:rsidRPr="003F06B3">
        <w:rPr>
          <w:b/>
        </w:rPr>
        <w:t>: RAN 2 reaffirms the agreement to broadcast a 1 bit mobile-IAB cell type indication for use by the REL18 UE Implementation in determining its on-board status to the cell of the mobile-IAB-node broadcasting the indication, which is located on the same vehicle as the UE.</w:t>
      </w:r>
      <w:r w:rsidRPr="003F17C8">
        <w:rPr>
          <w:b/>
        </w:rPr>
        <w:t xml:space="preserve"> </w:t>
      </w:r>
    </w:p>
    <w:p w:rsidR="003F06B3" w:rsidRDefault="003F06B3" w:rsidP="00905D32"/>
    <w:p w:rsidR="00905D32" w:rsidRPr="00356CFB" w:rsidRDefault="00905D32" w:rsidP="00905D32">
      <w:pPr>
        <w:rPr>
          <w:sz w:val="24"/>
        </w:rPr>
      </w:pPr>
      <w:r>
        <w:rPr>
          <w:sz w:val="24"/>
        </w:rPr>
        <w:t>2.3</w:t>
      </w:r>
      <w:r>
        <w:rPr>
          <w:sz w:val="24"/>
        </w:rPr>
        <w:tab/>
      </w:r>
      <w:r w:rsidRPr="00356CFB">
        <w:rPr>
          <w:sz w:val="24"/>
        </w:rPr>
        <w:t>Determination of Leave status</w:t>
      </w:r>
    </w:p>
    <w:p w:rsidR="00905D32" w:rsidRDefault="00905D32" w:rsidP="00905D32">
      <w:r>
        <w:t>In addition to determining on-board status, the decision to end on-board status or trigger reselection to a legacy or possibly another alternative mobile IAB node cell shall be left to UE implementation.</w:t>
      </w:r>
    </w:p>
    <w:p w:rsidR="00905D32" w:rsidRPr="00F32F35" w:rsidRDefault="00905D32" w:rsidP="00905D32">
      <w:pPr>
        <w:rPr>
          <w:b/>
        </w:rPr>
      </w:pPr>
      <w:r w:rsidRPr="00F32F35">
        <w:rPr>
          <w:b/>
        </w:rPr>
        <w:t xml:space="preserve">Proposal </w:t>
      </w:r>
      <w:r w:rsidR="003F06B3">
        <w:rPr>
          <w:b/>
        </w:rPr>
        <w:t>5</w:t>
      </w:r>
      <w:r w:rsidRPr="00F32F35">
        <w:rPr>
          <w:b/>
        </w:rPr>
        <w:t>: the decision to trigger reselection away from the on-board mobile IAB node cell, is determine by UE implementation, and signalled to the AS from UE higher layers.</w:t>
      </w:r>
    </w:p>
    <w:p w:rsidR="002075B5" w:rsidRDefault="002075B5" w:rsidP="002075B5"/>
    <w:p w:rsidR="00905D32" w:rsidRPr="00905D32" w:rsidRDefault="00905D32" w:rsidP="00905D32">
      <w:pPr>
        <w:pStyle w:val="ListParagraph"/>
        <w:keepNext/>
        <w:numPr>
          <w:ilvl w:val="0"/>
          <w:numId w:val="8"/>
        </w:numPr>
        <w:pBdr>
          <w:top w:val="single" w:sz="12" w:space="3" w:color="auto"/>
        </w:pBdr>
        <w:tabs>
          <w:tab w:val="left" w:pos="522"/>
        </w:tabs>
        <w:spacing w:before="360"/>
        <w:ind w:firstLineChars="0"/>
        <w:outlineLvl w:val="0"/>
        <w:rPr>
          <w:rFonts w:ascii="Arial" w:eastAsia="Malgun Gothic" w:hAnsi="Arial" w:cs="Arial"/>
          <w:bCs/>
          <w:sz w:val="36"/>
          <w:szCs w:val="32"/>
          <w:lang w:eastAsia="ja-JP"/>
        </w:rPr>
      </w:pPr>
      <w:r w:rsidRPr="00905D32">
        <w:rPr>
          <w:rFonts w:ascii="Arial" w:eastAsia="Malgun Gothic" w:hAnsi="Arial" w:cs="Arial"/>
          <w:bCs/>
          <w:sz w:val="36"/>
          <w:szCs w:val="32"/>
          <w:lang w:eastAsia="ja-JP"/>
        </w:rPr>
        <w:t>Conclusion</w:t>
      </w:r>
    </w:p>
    <w:p w:rsidR="00905D32" w:rsidRPr="00905D32" w:rsidRDefault="00905D32" w:rsidP="00905D32">
      <w:r w:rsidRPr="00905D32">
        <w:t xml:space="preserve">We propose that RAN2 adopt the following in order to specify the selection and reselection behaviour for UEs operating with </w:t>
      </w:r>
      <w:proofErr w:type="spellStart"/>
      <w:r w:rsidRPr="00905D32">
        <w:t>mIAB</w:t>
      </w:r>
      <w:proofErr w:type="spellEnd"/>
      <w:r w:rsidRPr="00905D32">
        <w:t xml:space="preserve"> nodes.</w:t>
      </w:r>
    </w:p>
    <w:p w:rsidR="003F06B3" w:rsidRPr="005207BD" w:rsidRDefault="003F06B3" w:rsidP="003F06B3">
      <w:pPr>
        <w:rPr>
          <w:b/>
        </w:rPr>
      </w:pPr>
      <w:r>
        <w:rPr>
          <w:b/>
        </w:rPr>
        <w:t>Proposal 1</w:t>
      </w:r>
      <w:r w:rsidRPr="005207BD">
        <w:rPr>
          <w:b/>
        </w:rPr>
        <w:t>: adoption of UE on-board status is useful enhancement for REL18 UEs supporting this</w:t>
      </w:r>
      <w:r>
        <w:rPr>
          <w:b/>
        </w:rPr>
        <w:t xml:space="preserve"> mobile-IAB </w:t>
      </w:r>
      <w:r w:rsidRPr="005207BD">
        <w:rPr>
          <w:b/>
        </w:rPr>
        <w:t>feature.</w:t>
      </w:r>
    </w:p>
    <w:p w:rsidR="002075B5" w:rsidRDefault="002075B5"/>
    <w:p w:rsidR="00ED5998" w:rsidRPr="006A2862" w:rsidRDefault="00ED5998" w:rsidP="00ED5998">
      <w:pPr>
        <w:rPr>
          <w:b/>
          <w:lang w:eastAsia="en-GB"/>
        </w:rPr>
      </w:pPr>
      <w:r w:rsidRPr="006A2862">
        <w:rPr>
          <w:b/>
          <w:lang w:eastAsia="en-GB"/>
        </w:rPr>
        <w:t xml:space="preserve">Proposal </w:t>
      </w:r>
      <w:r w:rsidR="003F06B3">
        <w:rPr>
          <w:b/>
          <w:lang w:eastAsia="en-GB"/>
        </w:rPr>
        <w:t>2</w:t>
      </w:r>
      <w:r w:rsidRPr="006A2862">
        <w:rPr>
          <w:b/>
          <w:lang w:eastAsia="en-GB"/>
        </w:rPr>
        <w:t xml:space="preserve">: </w:t>
      </w:r>
      <w:r>
        <w:rPr>
          <w:b/>
          <w:lang w:eastAsia="en-GB"/>
        </w:rPr>
        <w:t>RAN2 n</w:t>
      </w:r>
      <w:r w:rsidRPr="006A2862">
        <w:rPr>
          <w:b/>
          <w:lang w:eastAsia="en-GB"/>
        </w:rPr>
        <w:t>ot consider the broadcasting of the mobility status of the mobile IAB cell, as an AS assistance for UE determination of on-board status.</w:t>
      </w:r>
    </w:p>
    <w:p w:rsidR="00ED5998" w:rsidRPr="006A2862" w:rsidRDefault="00ED5998" w:rsidP="00ED5998">
      <w:pPr>
        <w:rPr>
          <w:b/>
          <w:lang w:eastAsia="en-GB"/>
        </w:rPr>
      </w:pPr>
      <w:r w:rsidRPr="006A2862">
        <w:rPr>
          <w:b/>
          <w:lang w:eastAsia="en-GB"/>
        </w:rPr>
        <w:t xml:space="preserve">Proposal </w:t>
      </w:r>
      <w:r w:rsidR="003F06B3">
        <w:rPr>
          <w:b/>
          <w:lang w:eastAsia="en-GB"/>
        </w:rPr>
        <w:t>3</w:t>
      </w:r>
      <w:r w:rsidRPr="006A2862">
        <w:rPr>
          <w:b/>
          <w:lang w:eastAsia="en-GB"/>
        </w:rPr>
        <w:t xml:space="preserve">: </w:t>
      </w:r>
      <w:r>
        <w:rPr>
          <w:b/>
          <w:lang w:eastAsia="en-GB"/>
        </w:rPr>
        <w:t>RAN2 n</w:t>
      </w:r>
      <w:r w:rsidRPr="006A2862">
        <w:rPr>
          <w:b/>
          <w:lang w:eastAsia="en-GB"/>
        </w:rPr>
        <w:t xml:space="preserve">ot </w:t>
      </w:r>
      <w:r>
        <w:rPr>
          <w:b/>
          <w:lang w:eastAsia="en-GB"/>
        </w:rPr>
        <w:t>specify a long time period to be used by a UE to measure how long a UE is connected to a cell of a mobile IAB node, in order to establish an on-board status.</w:t>
      </w:r>
    </w:p>
    <w:p w:rsidR="003F06B3" w:rsidRPr="003F17C8" w:rsidRDefault="003F06B3" w:rsidP="003F06B3">
      <w:pPr>
        <w:rPr>
          <w:b/>
        </w:rPr>
      </w:pPr>
      <w:r w:rsidRPr="003F17C8">
        <w:rPr>
          <w:b/>
        </w:rPr>
        <w:t xml:space="preserve">Proposal </w:t>
      </w:r>
      <w:r>
        <w:rPr>
          <w:b/>
        </w:rPr>
        <w:t>4</w:t>
      </w:r>
      <w:r w:rsidRPr="003F17C8">
        <w:rPr>
          <w:b/>
        </w:rPr>
        <w:t xml:space="preserve">: RAN 2 </w:t>
      </w:r>
      <w:r>
        <w:rPr>
          <w:b/>
        </w:rPr>
        <w:t xml:space="preserve">reaffirms </w:t>
      </w:r>
      <w:r w:rsidRPr="003F17C8">
        <w:rPr>
          <w:b/>
        </w:rPr>
        <w:t>the agreement to broadcast a 1 bit mobile-IAB cell type indication for use by the REL18 UE Implementation in determining its on-board status to the cell of the mobile-IAB-node broadcasting the indication</w:t>
      </w:r>
      <w:r>
        <w:rPr>
          <w:b/>
        </w:rPr>
        <w:t>, which is located on the same vehicle as the UE</w:t>
      </w:r>
      <w:r w:rsidRPr="003F17C8">
        <w:rPr>
          <w:b/>
        </w:rPr>
        <w:t xml:space="preserve">. </w:t>
      </w:r>
    </w:p>
    <w:p w:rsidR="00ED5998" w:rsidRPr="00F32F35" w:rsidRDefault="00ED5998" w:rsidP="00ED5998">
      <w:pPr>
        <w:rPr>
          <w:b/>
        </w:rPr>
      </w:pPr>
      <w:r w:rsidRPr="00F32F35">
        <w:rPr>
          <w:b/>
        </w:rPr>
        <w:t xml:space="preserve">Proposal </w:t>
      </w:r>
      <w:r w:rsidR="003F06B3">
        <w:rPr>
          <w:b/>
        </w:rPr>
        <w:t>5</w:t>
      </w:r>
      <w:r w:rsidRPr="00F32F35">
        <w:rPr>
          <w:b/>
        </w:rPr>
        <w:t>: the decision to trigger reselection away from the on-board mobile IAB node cell, is determine by UE implementation, and signalled to the AS from UE higher layers.</w:t>
      </w:r>
    </w:p>
    <w:p w:rsidR="002075B5" w:rsidRDefault="002075B5"/>
    <w:p w:rsidR="00ED5998" w:rsidRPr="00ED5998" w:rsidRDefault="00ED5998" w:rsidP="00ED5998">
      <w:pPr>
        <w:pStyle w:val="ListParagraph"/>
        <w:keepNext/>
        <w:numPr>
          <w:ilvl w:val="0"/>
          <w:numId w:val="8"/>
        </w:numPr>
        <w:pBdr>
          <w:top w:val="single" w:sz="12" w:space="3" w:color="auto"/>
        </w:pBdr>
        <w:tabs>
          <w:tab w:val="left" w:pos="522"/>
        </w:tabs>
        <w:spacing w:before="360"/>
        <w:ind w:firstLineChars="0"/>
        <w:outlineLvl w:val="0"/>
        <w:rPr>
          <w:rFonts w:ascii="Arial" w:eastAsia="Malgun Gothic" w:hAnsi="Arial" w:cs="Arial"/>
          <w:bCs/>
          <w:sz w:val="36"/>
          <w:szCs w:val="32"/>
          <w:lang w:eastAsia="ja-JP"/>
        </w:rPr>
      </w:pPr>
      <w:r w:rsidRPr="00ED5998">
        <w:rPr>
          <w:rFonts w:ascii="Arial" w:eastAsia="Malgun Gothic" w:hAnsi="Arial" w:cs="Arial"/>
          <w:bCs/>
          <w:sz w:val="36"/>
          <w:szCs w:val="32"/>
          <w:lang w:eastAsia="ja-JP"/>
        </w:rPr>
        <w:t>References</w:t>
      </w:r>
    </w:p>
    <w:p w:rsidR="00ED5998" w:rsidRPr="00ED5998" w:rsidRDefault="00ED5998" w:rsidP="00ED5998">
      <w:pPr>
        <w:ind w:left="567" w:hanging="567"/>
      </w:pPr>
      <w:r w:rsidRPr="00ED5998">
        <w:t>[1]</w:t>
      </w:r>
      <w:r w:rsidRPr="00ED5998">
        <w:tab/>
        <w:t>RP-222671</w:t>
      </w:r>
      <w:r w:rsidRPr="00ED5998">
        <w:tab/>
        <w:t>Revised WID: Mobile IAB (Integrated Access and Backhaul) for NR</w:t>
      </w:r>
    </w:p>
    <w:p w:rsidR="00ED5998" w:rsidRPr="00ED5998" w:rsidRDefault="00ED5998" w:rsidP="00ED5998">
      <w:pPr>
        <w:ind w:left="567" w:hanging="567"/>
      </w:pPr>
      <w:r w:rsidRPr="00ED5998">
        <w:t>[2]</w:t>
      </w:r>
      <w:r w:rsidRPr="00ED5998">
        <w:tab/>
        <w:t>R2_120 Chair Notes EOM rev1</w:t>
      </w:r>
      <w:r w:rsidRPr="00ED5998">
        <w:tab/>
        <w:t xml:space="preserve">RAN2 chair,  www.3gpp.org / ftp / </w:t>
      </w:r>
      <w:proofErr w:type="spellStart"/>
      <w:r w:rsidRPr="00ED5998">
        <w:t>tsg_ran</w:t>
      </w:r>
      <w:proofErr w:type="spellEnd"/>
      <w:r w:rsidRPr="00ED5998">
        <w:t xml:space="preserve"> / WG2_RL2 / TSGR2_</w:t>
      </w:r>
      <w:r>
        <w:t>120</w:t>
      </w:r>
      <w:r w:rsidRPr="00ED5998">
        <w:t xml:space="preserve"> / Inbox / </w:t>
      </w:r>
      <w:proofErr w:type="spellStart"/>
      <w:r w:rsidRPr="00ED5998">
        <w:t>Chairs_Notes</w:t>
      </w:r>
      <w:proofErr w:type="spellEnd"/>
    </w:p>
    <w:p w:rsidR="00ED5998" w:rsidRPr="00ED5998" w:rsidRDefault="00ED5998" w:rsidP="00ED5998">
      <w:pPr>
        <w:ind w:left="567" w:hanging="567"/>
      </w:pPr>
      <w:r w:rsidRPr="00ED5998">
        <w:t>[3]</w:t>
      </w:r>
      <w:r w:rsidRPr="00ED5998">
        <w:tab/>
        <w:t>R2-2210447</w:t>
      </w:r>
      <w:r w:rsidRPr="00ED5998">
        <w:tab/>
        <w:t xml:space="preserve">Scenarios for consideration in </w:t>
      </w:r>
      <w:proofErr w:type="spellStart"/>
      <w:r w:rsidRPr="00ED5998">
        <w:t>mIAB</w:t>
      </w:r>
      <w:proofErr w:type="spellEnd"/>
      <w:r w:rsidRPr="00ED5998">
        <w:t xml:space="preserve"> cell selection and reselection, Xiaomi </w:t>
      </w:r>
    </w:p>
    <w:p w:rsidR="00ED5998" w:rsidRPr="00ED5998" w:rsidRDefault="00ED5998" w:rsidP="00ED5998">
      <w:pPr>
        <w:ind w:left="567" w:hanging="567"/>
      </w:pPr>
      <w:r w:rsidRPr="00ED5998">
        <w:t>[4]</w:t>
      </w:r>
      <w:r w:rsidRPr="00ED5998">
        <w:tab/>
        <w:t xml:space="preserve">TR22.839 </w:t>
      </w:r>
      <w:r w:rsidRPr="00ED5998">
        <w:tab/>
        <w:t>Study on Vehicle-Mounted Relays, Stage 1</w:t>
      </w:r>
    </w:p>
    <w:p w:rsidR="004E3053" w:rsidRPr="002D020F" w:rsidRDefault="00ED5998" w:rsidP="002D020F">
      <w:pPr>
        <w:ind w:left="567" w:hanging="567"/>
      </w:pPr>
      <w:r w:rsidRPr="00ED5998">
        <w:t>[5]</w:t>
      </w:r>
      <w:r w:rsidRPr="00ED5998">
        <w:tab/>
        <w:t>TR23.700-05- V1.1.0 (2022-10)</w:t>
      </w:r>
      <w:r w:rsidRPr="00ED5998">
        <w:tab/>
        <w:t>Study on architecture enhancements for vehicle-mounted relays</w:t>
      </w:r>
    </w:p>
    <w:sectPr w:rsidR="004E3053" w:rsidRPr="002D020F" w:rsidSect="00ED5998">
      <w:pgSz w:w="11906" w:h="16838"/>
      <w:pgMar w:top="1440"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A63D4"/>
    <w:multiLevelType w:val="hybridMultilevel"/>
    <w:tmpl w:val="3258CDE8"/>
    <w:lvl w:ilvl="0" w:tplc="41629FD4">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8442C45"/>
    <w:multiLevelType w:val="hybridMultilevel"/>
    <w:tmpl w:val="3548537A"/>
    <w:lvl w:ilvl="0" w:tplc="E39202E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1A096F"/>
    <w:multiLevelType w:val="hybridMultilevel"/>
    <w:tmpl w:val="F3164A1E"/>
    <w:lvl w:ilvl="0" w:tplc="41629FD4">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3137F92"/>
    <w:multiLevelType w:val="hybridMultilevel"/>
    <w:tmpl w:val="9FE21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3D2C5D"/>
    <w:multiLevelType w:val="hybridMultilevel"/>
    <w:tmpl w:val="678E46C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626C0B96"/>
    <w:multiLevelType w:val="hybridMultilevel"/>
    <w:tmpl w:val="B5AADC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4900"/>
        </w:tabs>
        <w:ind w:left="-4900" w:hanging="360"/>
      </w:pPr>
      <w:rPr>
        <w:rFonts w:ascii="Symbol" w:hAnsi="Symbol" w:hint="default"/>
        <w:b/>
        <w:i w:val="0"/>
        <w:color w:val="auto"/>
        <w:sz w:val="22"/>
      </w:rPr>
    </w:lvl>
    <w:lvl w:ilvl="1" w:tplc="04090003">
      <w:start w:val="1"/>
      <w:numFmt w:val="bullet"/>
      <w:lvlText w:val="o"/>
      <w:lvlJc w:val="left"/>
      <w:pPr>
        <w:tabs>
          <w:tab w:val="num" w:pos="-4090"/>
        </w:tabs>
        <w:ind w:left="-4090" w:hanging="360"/>
      </w:pPr>
      <w:rPr>
        <w:rFonts w:ascii="Courier New" w:hAnsi="Courier New" w:cs="Courier New" w:hint="default"/>
      </w:rPr>
    </w:lvl>
    <w:lvl w:ilvl="2" w:tplc="04090005">
      <w:start w:val="1"/>
      <w:numFmt w:val="bullet"/>
      <w:lvlText w:val=""/>
      <w:lvlJc w:val="left"/>
      <w:pPr>
        <w:tabs>
          <w:tab w:val="num" w:pos="-3370"/>
        </w:tabs>
        <w:ind w:left="-3370" w:hanging="360"/>
      </w:pPr>
      <w:rPr>
        <w:rFonts w:ascii="Wingdings" w:hAnsi="Wingdings" w:hint="default"/>
      </w:rPr>
    </w:lvl>
    <w:lvl w:ilvl="3" w:tplc="04090001">
      <w:start w:val="1"/>
      <w:numFmt w:val="bullet"/>
      <w:lvlText w:val=""/>
      <w:lvlJc w:val="left"/>
      <w:pPr>
        <w:tabs>
          <w:tab w:val="num" w:pos="-2650"/>
        </w:tabs>
        <w:ind w:left="-2650" w:hanging="360"/>
      </w:pPr>
      <w:rPr>
        <w:rFonts w:ascii="Symbol" w:hAnsi="Symbol" w:hint="default"/>
      </w:rPr>
    </w:lvl>
    <w:lvl w:ilvl="4" w:tplc="04090003">
      <w:start w:val="1"/>
      <w:numFmt w:val="bullet"/>
      <w:lvlText w:val="o"/>
      <w:lvlJc w:val="left"/>
      <w:pPr>
        <w:tabs>
          <w:tab w:val="num" w:pos="-1930"/>
        </w:tabs>
        <w:ind w:left="-1930" w:hanging="360"/>
      </w:pPr>
      <w:rPr>
        <w:rFonts w:ascii="Courier New" w:hAnsi="Courier New" w:cs="Courier New" w:hint="default"/>
      </w:rPr>
    </w:lvl>
    <w:lvl w:ilvl="5" w:tplc="04090005">
      <w:start w:val="1"/>
      <w:numFmt w:val="bullet"/>
      <w:lvlText w:val=""/>
      <w:lvlJc w:val="left"/>
      <w:pPr>
        <w:tabs>
          <w:tab w:val="num" w:pos="-1210"/>
        </w:tabs>
        <w:ind w:left="-1210" w:hanging="360"/>
      </w:pPr>
      <w:rPr>
        <w:rFonts w:ascii="Wingdings" w:hAnsi="Wingdings" w:hint="default"/>
      </w:rPr>
    </w:lvl>
    <w:lvl w:ilvl="6" w:tplc="04090001">
      <w:start w:val="1"/>
      <w:numFmt w:val="bullet"/>
      <w:lvlText w:val=""/>
      <w:lvlJc w:val="left"/>
      <w:pPr>
        <w:tabs>
          <w:tab w:val="num" w:pos="-490"/>
        </w:tabs>
        <w:ind w:left="-490" w:hanging="360"/>
      </w:pPr>
      <w:rPr>
        <w:rFonts w:ascii="Symbol" w:hAnsi="Symbol" w:hint="default"/>
      </w:rPr>
    </w:lvl>
    <w:lvl w:ilvl="7" w:tplc="04090003">
      <w:start w:val="1"/>
      <w:numFmt w:val="bullet"/>
      <w:lvlText w:val="o"/>
      <w:lvlJc w:val="left"/>
      <w:pPr>
        <w:tabs>
          <w:tab w:val="num" w:pos="230"/>
        </w:tabs>
        <w:ind w:left="230" w:hanging="360"/>
      </w:pPr>
      <w:rPr>
        <w:rFonts w:ascii="Courier New" w:hAnsi="Courier New" w:cs="Courier New" w:hint="default"/>
      </w:rPr>
    </w:lvl>
    <w:lvl w:ilvl="8" w:tplc="04090005" w:tentative="1">
      <w:start w:val="1"/>
      <w:numFmt w:val="bullet"/>
      <w:lvlText w:val=""/>
      <w:lvlJc w:val="left"/>
      <w:pPr>
        <w:tabs>
          <w:tab w:val="num" w:pos="950"/>
        </w:tabs>
        <w:ind w:left="950" w:hanging="360"/>
      </w:pPr>
      <w:rPr>
        <w:rFonts w:ascii="Wingdings" w:hAnsi="Wingdings" w:hint="default"/>
      </w:rPr>
    </w:lvl>
  </w:abstractNum>
  <w:abstractNum w:abstractNumId="7" w15:restartNumberingAfterBreak="0">
    <w:nsid w:val="73596D35"/>
    <w:multiLevelType w:val="hybridMultilevel"/>
    <w:tmpl w:val="D1F404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6"/>
  </w:num>
  <w:num w:numId="4">
    <w:abstractNumId w:val="7"/>
  </w:num>
  <w:num w:numId="5">
    <w:abstractNumId w:val="2"/>
  </w:num>
  <w:num w:numId="6">
    <w:abstractNumId w:val="0"/>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053"/>
    <w:rsid w:val="000976CC"/>
    <w:rsid w:val="00110C1F"/>
    <w:rsid w:val="00120627"/>
    <w:rsid w:val="00192EE0"/>
    <w:rsid w:val="002075B5"/>
    <w:rsid w:val="002D020F"/>
    <w:rsid w:val="002E05AA"/>
    <w:rsid w:val="002F18F9"/>
    <w:rsid w:val="003F06B3"/>
    <w:rsid w:val="004E3053"/>
    <w:rsid w:val="005207BD"/>
    <w:rsid w:val="00550A5F"/>
    <w:rsid w:val="00571ABB"/>
    <w:rsid w:val="00777EFF"/>
    <w:rsid w:val="00877998"/>
    <w:rsid w:val="00905D32"/>
    <w:rsid w:val="00A37A64"/>
    <w:rsid w:val="00A9771B"/>
    <w:rsid w:val="00AE6CF9"/>
    <w:rsid w:val="00B4334B"/>
    <w:rsid w:val="00BD7E4D"/>
    <w:rsid w:val="00BF3598"/>
    <w:rsid w:val="00C16A39"/>
    <w:rsid w:val="00C63D8B"/>
    <w:rsid w:val="00E609B6"/>
    <w:rsid w:val="00ED59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BAF254-D715-4A9C-8288-7F1B41C2A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E305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E3053"/>
    <w:pPr>
      <w:spacing w:before="180" w:after="180" w:line="240" w:lineRule="auto"/>
      <w:ind w:left="1134" w:hanging="1134"/>
      <w:outlineLvl w:val="1"/>
    </w:pPr>
    <w:rPr>
      <w:rFonts w:ascii="Arial" w:eastAsiaTheme="minorEastAsia"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rsid w:val="004E3053"/>
    <w:pPr>
      <w:spacing w:before="60" w:after="0" w:line="240" w:lineRule="auto"/>
      <w:ind w:left="1259" w:hanging="1259"/>
    </w:pPr>
    <w:rPr>
      <w:rFonts w:ascii="Arial" w:eastAsia="MS Mincho" w:hAnsi="Arial" w:cs="Times New Roman"/>
      <w:noProof/>
      <w:sz w:val="20"/>
      <w:szCs w:val="24"/>
      <w:lang w:eastAsia="en-GB"/>
    </w:rPr>
  </w:style>
  <w:style w:type="paragraph" w:customStyle="1" w:styleId="Doc-text2">
    <w:name w:val="Doc-text2"/>
    <w:basedOn w:val="Normal"/>
    <w:link w:val="Doc-text2Char"/>
    <w:qFormat/>
    <w:rsid w:val="004E3053"/>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qFormat/>
    <w:rsid w:val="004E3053"/>
    <w:rPr>
      <w:rFonts w:ascii="Arial" w:eastAsia="MS Mincho" w:hAnsi="Arial" w:cs="Times New Roman"/>
      <w:sz w:val="20"/>
      <w:szCs w:val="24"/>
      <w:lang w:eastAsia="en-GB"/>
    </w:rPr>
  </w:style>
  <w:style w:type="character" w:customStyle="1" w:styleId="Doc-titleChar">
    <w:name w:val="Doc-title Char"/>
    <w:link w:val="Doc-title"/>
    <w:qFormat/>
    <w:rsid w:val="004E3053"/>
    <w:rPr>
      <w:rFonts w:ascii="Arial" w:eastAsia="MS Mincho" w:hAnsi="Arial" w:cs="Times New Roman"/>
      <w:noProof/>
      <w:sz w:val="20"/>
      <w:szCs w:val="24"/>
      <w:lang w:eastAsia="en-GB"/>
    </w:rPr>
  </w:style>
  <w:style w:type="character" w:styleId="Hyperlink">
    <w:name w:val="Hyperlink"/>
    <w:uiPriority w:val="99"/>
    <w:rsid w:val="004E3053"/>
    <w:rPr>
      <w:color w:val="0000FF"/>
      <w:u w:val="single"/>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4E3053"/>
    <w:pPr>
      <w:overflowPunct w:val="0"/>
      <w:autoSpaceDE w:val="0"/>
      <w:autoSpaceDN w:val="0"/>
      <w:adjustRightInd w:val="0"/>
      <w:spacing w:after="180" w:line="240" w:lineRule="auto"/>
    </w:pPr>
    <w:rPr>
      <w:rFonts w:ascii="Times New Roman" w:eastAsia="SimSun" w:hAnsi="Times New Roman" w:cs="Times New Roman"/>
      <w:b/>
      <w:bCs/>
      <w:color w:val="000000"/>
      <w:sz w:val="20"/>
      <w:szCs w:val="20"/>
      <w:lang w:val="en-US" w:eastAsia="ja-JP"/>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4E3053"/>
    <w:pPr>
      <w:overflowPunct w:val="0"/>
      <w:autoSpaceDE w:val="0"/>
      <w:autoSpaceDN w:val="0"/>
      <w:adjustRightInd w:val="0"/>
      <w:spacing w:after="180" w:line="240" w:lineRule="auto"/>
      <w:ind w:firstLineChars="200" w:firstLine="420"/>
      <w:textAlignment w:val="baseline"/>
    </w:pPr>
    <w:rPr>
      <w:rFonts w:ascii="Times New Roman" w:eastAsia="Times New Roman" w:hAnsi="Times New Roman" w:cs="Times New Roman"/>
      <w:sz w:val="20"/>
      <w:szCs w:val="20"/>
      <w:lang w:val="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4E3053"/>
    <w:rPr>
      <w:rFonts w:ascii="Times New Roman" w:eastAsia="Times New Roman" w:hAnsi="Times New Roman" w:cs="Times New Roman"/>
      <w:sz w:val="20"/>
      <w:szCs w:val="20"/>
      <w:lang w:val="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4E3053"/>
    <w:rPr>
      <w:rFonts w:ascii="Times New Roman" w:eastAsia="SimSun" w:hAnsi="Times New Roman" w:cs="Times New Roman"/>
      <w:b/>
      <w:bCs/>
      <w:color w:val="000000"/>
      <w:sz w:val="20"/>
      <w:szCs w:val="20"/>
      <w:lang w:val="en-US" w:eastAsia="ja-JP"/>
    </w:rPr>
  </w:style>
  <w:style w:type="character" w:customStyle="1" w:styleId="Heading2Char">
    <w:name w:val="Heading 2 Char"/>
    <w:basedOn w:val="DefaultParagraphFont"/>
    <w:link w:val="Heading2"/>
    <w:rsid w:val="004E3053"/>
    <w:rPr>
      <w:rFonts w:ascii="Arial" w:eastAsiaTheme="minorEastAsia" w:hAnsi="Arial" w:cs="Times New Roman"/>
      <w:sz w:val="32"/>
      <w:szCs w:val="20"/>
    </w:rPr>
  </w:style>
  <w:style w:type="character" w:customStyle="1" w:styleId="Heading1Char">
    <w:name w:val="Heading 1 Char"/>
    <w:basedOn w:val="DefaultParagraphFont"/>
    <w:link w:val="Heading1"/>
    <w:uiPriority w:val="9"/>
    <w:rsid w:val="004E3053"/>
    <w:rPr>
      <w:rFonts w:asciiTheme="majorHAnsi" w:eastAsiaTheme="majorEastAsia" w:hAnsiTheme="majorHAnsi" w:cstheme="majorBidi"/>
      <w:color w:val="2F5496" w:themeColor="accent1" w:themeShade="BF"/>
      <w:sz w:val="32"/>
      <w:szCs w:val="32"/>
    </w:rPr>
  </w:style>
  <w:style w:type="paragraph" w:customStyle="1" w:styleId="Agreement">
    <w:name w:val="Agreement"/>
    <w:basedOn w:val="Normal"/>
    <w:next w:val="Doc-text2"/>
    <w:qFormat/>
    <w:rsid w:val="00E609B6"/>
    <w:pPr>
      <w:numPr>
        <w:numId w:val="3"/>
      </w:numPr>
      <w:spacing w:before="60" w:after="0" w:line="240" w:lineRule="auto"/>
    </w:pPr>
    <w:rPr>
      <w:rFonts w:ascii="Arial" w:eastAsia="MS Mincho" w:hAnsi="Arial" w:cs="Times New Roman"/>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1657</Words>
  <Characters>9445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Gordon</dc:creator>
  <cp:keywords/>
  <dc:description/>
  <cp:lastModifiedBy>Gordon</cp:lastModifiedBy>
  <cp:revision>2</cp:revision>
  <dcterms:created xsi:type="dcterms:W3CDTF">2023-02-16T22:00:00Z</dcterms:created>
  <dcterms:modified xsi:type="dcterms:W3CDTF">2023-02-16T22:00:00Z</dcterms:modified>
</cp:coreProperties>
</file>